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 xml:space="preserve">Tento vzor </w:t>
      </w:r>
      <w:r>
        <w:rPr>
          <w:rFonts w:ascii="Arial" w:cs="Arial" w:eastAsia="Arial" w:hAnsi="Arial"/>
          <w:b/>
          <w:color w:val="808080"/>
          <w:sz w:val="20"/>
        </w:rPr>
        <w:t>návrhu na vydání platebního rozkazu</w:t>
      </w:r>
      <w:r>
        <w:rPr>
          <w:rFonts w:ascii="Arial" w:cs="Arial" w:eastAsia="Arial" w:hAnsi="Arial"/>
          <w:color w:val="808080"/>
          <w:sz w:val="20"/>
        </w:rPr>
        <w:t xml:space="preserve"> (dále jen „návrh“) můžete použít v případě, že žádáte zaplacení konkrétní peněžité částky (včetně úroků z prodlení) kterou jste jako ručitel plnil věřiteli namísto dlužníka. Zaplacením dlužné částky se co do její výše stáváte věřitelem.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>V návrhu je potřeba identifikovat účastníky (tedy Vás a žalovaného nebo žalovaných). V případě, že se jedná o právnickou osobu, uvádí se obchodní jméno, identifikační číslo a sídlo společnosti.</w:t>
      </w:r>
      <w:r>
        <w:rPr>
          <w:rFonts w:ascii="Times New Roman" w:cs="Times New Roman" w:eastAsia="Times New Roman" w:hAnsi="Times New Roman"/>
          <w:color w:val="808080"/>
          <w:sz w:val="24"/>
        </w:rPr>
        <w:t xml:space="preserve"> 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>Vydání platebního rozkazu záleží na posouzení soudu – rozhoduje, zda jsou pro soud předložené důkazy dostačující. Vydaný platební rozkaz soud doručuje žalovanému a to do vlastních rukou. Tento způsob je podmínkou platného doručení a následně případného nabytí právní moci vydaného platebního rozkazu, tzv. fikce doručení zde není možná. Z uvedeného plyne, že v případě, kdy víte, že žalovanému se písemnosti doručují obtížně, je lepší žádat soud o vydání rozsudku bez návrhu na vydání platebního rozkazu, tedy žalobou. Rovněž není možné doručovat tento typ platebního rozkazu do ciziny (existuje však tzv. evropský platební rozkaz).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>V případě nedoručení platebního rozkazu nebo včasně podaného odporu (obranný prostředek žalovaného, který musí podat do 15 dnů od doručení platebního rozkazu) se platební rozkaz ruší a soud nařídí ve věci jednání.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>Výše soudního poplatku za podání návrhu na vydání platebního rozkazu se odvíjí od výše vymáhané částky. Kč. Nejméně je to však 1000 Kč. Můžete ovšem požádat o osvobození od tohoto poplatku, které však není nárokové a posuzuje se s přihlédnutím k okolnostem konkrétního případu.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tabs>
          <w:tab w:leader="none" w:pos="8460" w:val="left"/>
        </w:tabs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  <w:u w:val="single"/>
        </w:rPr>
        <w:t>Doporučený postup:</w:t>
      </w:r>
    </w:p>
    <w:p>
      <w:pPr>
        <w:pStyle w:val="style0"/>
        <w:tabs>
          <w:tab w:leader="none" w:pos="8460" w:val="left"/>
        </w:tabs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ab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 xml:space="preserve">Na základě níže uvedeného vzoru můžete vyhotovit vlastní návrh na vydání platebního rozkazu. </w:t>
      </w:r>
      <w:r>
        <w:rPr>
          <w:rFonts w:ascii="Arial" w:cs="Arial" w:eastAsia="Arial" w:hAnsi="Arial"/>
          <w:b/>
          <w:color w:val="808080"/>
          <w:sz w:val="20"/>
        </w:rPr>
        <w:t>Nezapomínejte, že se jedná o vzor</w:t>
      </w:r>
      <w:r>
        <w:rPr>
          <w:rFonts w:ascii="Arial" w:cs="Arial" w:eastAsia="Arial" w:hAnsi="Arial"/>
          <w:color w:val="808080"/>
          <w:sz w:val="20"/>
        </w:rPr>
        <w:t xml:space="preserve"> – Vámi vypracovaný návrh může být kratší či delší, je možné, že Vás napadnou ještě další informace, které si přejete uvést. Doporučujeme však dodržet strukturu daného vzoru. </w:t>
      </w:r>
      <w:r>
        <w:rPr>
          <w:rFonts w:ascii="Arial" w:cs="Arial" w:eastAsia="Arial" w:hAnsi="Arial"/>
          <w:b/>
          <w:color w:val="808080"/>
          <w:sz w:val="20"/>
        </w:rPr>
        <w:t xml:space="preserve">Informace psané kurzívou označují strukturu návrhu – uvádět je v ní není nutné. </w:t>
      </w:r>
      <w:r>
        <w:rPr>
          <w:rFonts w:ascii="Arial" w:cs="Arial" w:eastAsia="Arial" w:hAnsi="Arial"/>
          <w:color w:val="808080"/>
          <w:sz w:val="20"/>
        </w:rPr>
        <w:t>Skutečnosti uváděné v návrhu je potřeba podložit důkazy!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b/>
          <w:color w:val="808080"/>
          <w:sz w:val="20"/>
        </w:rPr>
        <w:t xml:space="preserve">Až budete mít návrh hotový, je třeba jej doručit osobně či poštou na adresu </w:t>
      </w:r>
      <w:r>
        <w:rPr>
          <w:rFonts w:ascii="Arial" w:cs="Arial" w:eastAsia="Arial" w:hAnsi="Arial"/>
          <w:color w:val="808080"/>
          <w:sz w:val="20"/>
        </w:rPr>
        <w:t xml:space="preserve">příslušného soudu. V každém případě si ponechte kopii Vámi vyhotoveného návrhu, kterou si při osobním podání na příslušném soudu nechte potvrdit (na podatelně). Pokud budete posílat návrh poštou, učiňte tak doporučeně a ponechte si potvrzený podací lístek. 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>Návrh nemusí být psaný na počítači, můžete jej napsat i v ruce.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b/>
          <w:color w:val="808080"/>
          <w:sz w:val="20"/>
        </w:rPr>
        <w:t>Všechny informace, které do návrhu uvedete, musí být pravdivé!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b/>
          <w:color w:val="808080"/>
          <w:sz w:val="20"/>
        </w:rPr>
        <w:t>Minimálně 7 kalendářních dní před podáním návrhu je vhodné zaslat žalovanému předžalobní výzvu.</w:t>
      </w:r>
      <w:r>
        <w:rPr>
          <w:rFonts w:ascii="Arial" w:cs="Arial" w:eastAsia="Arial" w:hAnsi="Arial"/>
          <w:color w:val="808080"/>
          <w:sz w:val="20"/>
        </w:rPr>
        <w:t xml:space="preserve"> Ze žádného zákona v současné době neplyne povinnost upomínat dlužníka. Věřitel se tedy může obrátit se svým nárokem na soud, aniž by dlužníkovi upomínku zaslal. Pokud však věřitel nezašle dlužníkovi min. 7 kalendřáních dní před podáním žaloby upomínku na jemu poslední známou adresu, nebude mít v případě svého úspěchu u soudu či rozhodce nárok na náhradu nákladů řízení vůči dlužníkovi (kromě mimořádných situací). Věřitel neodpovídá za to, zda si dlužník předžalobní výzvu převezme či ne. Z vícero důvodů je proto poslání upomínky vhodné. V první řadě je tu vždy možnost, že dlužník svou povinnost splní po té, co bude upomenut a upozorněn, že dluh může být vymáhán soudní cestou nebo prostřednictvím rozhodčího řízení. Za další pak platí, že bez upomínky nebudou až na výjimky v případě úspěšné žaloby nahrazeny věřiteli náklady řízení.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808080"/>
          <w:sz w:val="20"/>
        </w:rPr>
        <w:t xml:space="preserve">Pokud si nejste jisti, zda je Vámi vyhotovená návrh v pořádku, můžete se jít poradit do některé z poraden poskytujících dluhové poradenství: </w:t>
      </w:r>
      <w:hyperlink r:id="rId2">
        <w:r>
          <w:rPr>
            <w:rStyle w:val="style16"/>
            <w:rStyle w:val="style16"/>
            <w:rFonts w:ascii="Arial" w:hAnsi="Arial"/>
            <w:sz w:val="20"/>
            <w:szCs w:val="20"/>
          </w:rPr>
          <w:t>http://www.dluhovylabyrint.cz/kam-pro-radu/</w:t>
        </w:r>
      </w:hyperlink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Arial" w:cs="Arial" w:eastAsia="Arial" w:hAnsi="Arial"/>
          <w:i/>
          <w:color w:val="00000A"/>
          <w:sz w:val="20"/>
        </w:rPr>
        <w:t>Identifikace účastníků a řízení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Arial" w:hAnsi="Arial"/>
          <w:sz w:val="20"/>
        </w:rPr>
        <w:t>Okresnímu</w:t>
      </w:r>
      <w:r>
        <w:rPr>
          <w:rFonts w:ascii="Arial" w:cs="Arial" w:eastAsia="Arial" w:hAnsi="Arial"/>
          <w:color w:val="00000A"/>
          <w:sz w:val="20"/>
        </w:rPr>
        <w:t xml:space="preserve"> soudu</w:t>
        <w:br/>
        <w:t>v Jindřichově Hradci (</w:t>
      </w:r>
      <w:r>
        <w:rPr>
          <w:rFonts w:ascii="Arial" w:cs="Arial" w:eastAsia="Arial" w:hAnsi="Arial"/>
          <w:i/>
          <w:color w:val="00000A"/>
          <w:sz w:val="20"/>
        </w:rPr>
        <w:t>uvede se místně příslušný soud</w:t>
      </w:r>
      <w:r>
        <w:rPr>
          <w:rFonts w:ascii="Arial" w:cs="Arial" w:eastAsia="Arial" w:hAnsi="Arial"/>
          <w:color w:val="00000A"/>
          <w:sz w:val="20"/>
        </w:rPr>
        <w:t>)</w:t>
      </w:r>
    </w:p>
    <w:p>
      <w:pPr>
        <w:pStyle w:val="style0"/>
        <w:spacing w:after="100" w:before="100" w:line="100" w:lineRule="atLeast"/>
        <w:contextualSpacing w:val="false"/>
      </w:pPr>
      <w:r>
        <w:rPr/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Arial" w:hAnsi="Arial"/>
          <w:sz w:val="20"/>
        </w:rPr>
        <w:t>Žalobce</w:t>
      </w:r>
      <w:r>
        <w:rPr>
          <w:rFonts w:ascii="Arial" w:cs="Arial" w:eastAsia="Arial" w:hAnsi="Arial"/>
          <w:color w:val="00000A"/>
          <w:sz w:val="20"/>
        </w:rPr>
        <w:t>:          Jan Nováček, nar.  24.2.1985, trvale bytem Jindřichův Hradec, Stará 27</w:t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Arial" w:hAnsi="Arial"/>
          <w:sz w:val="20"/>
        </w:rPr>
        <w:t>Žalovaný</w:t>
      </w:r>
      <w:r>
        <w:rPr>
          <w:rFonts w:ascii="Arial" w:cs="Arial" w:eastAsia="Arial" w:hAnsi="Arial"/>
          <w:color w:val="00000A"/>
          <w:sz w:val="20"/>
        </w:rPr>
        <w:t>:        Josef Novák, nar. 5.11.1978, trvale bytem Jindřichův Hradec, Nová  15</w:t>
      </w:r>
    </w:p>
    <w:p>
      <w:pPr>
        <w:pStyle w:val="style0"/>
        <w:spacing w:after="100" w:before="100" w:line="100" w:lineRule="atLeast"/>
        <w:contextualSpacing w:val="false"/>
      </w:pPr>
      <w:r>
        <w:rPr/>
      </w:r>
    </w:p>
    <w:p>
      <w:pPr>
        <w:pStyle w:val="style0"/>
        <w:spacing w:after="100" w:before="100" w:line="100" w:lineRule="atLeast"/>
        <w:contextualSpacing w:val="false"/>
      </w:pPr>
      <w:r>
        <w:rPr/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Arial" w:hAnsi="Arial"/>
          <w:i/>
          <w:sz w:val="20"/>
        </w:rPr>
        <w:t>Předmět návrhu:</w:t>
      </w:r>
    </w:p>
    <w:p>
      <w:pPr>
        <w:pStyle w:val="style0"/>
        <w:spacing w:after="100" w:before="100" w:line="100" w:lineRule="atLeast"/>
        <w:contextualSpacing w:val="false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center"/>
      </w:pPr>
      <w:r>
        <w:rPr>
          <w:rFonts w:ascii="Arial" w:cs="Arial" w:eastAsia="Arial" w:hAnsi="Arial"/>
          <w:b/>
          <w:color w:val="00000A"/>
          <w:sz w:val="20"/>
        </w:rPr>
        <w:t>Návrh na vydání platebního rozkazu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color w:val="00000A"/>
          <w:sz w:val="20"/>
        </w:rPr>
        <w:t>Dvojmo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color w:val="00000A"/>
          <w:sz w:val="20"/>
        </w:rPr>
        <w:t>Přílohy (</w:t>
      </w:r>
      <w:r>
        <w:rPr>
          <w:rFonts w:ascii="Arial" w:cs="Arial" w:eastAsia="Arial" w:hAnsi="Arial"/>
          <w:i/>
          <w:color w:val="00000A"/>
          <w:sz w:val="20"/>
        </w:rPr>
        <w:t>pokud z návrhu vyplývá, že mezi důkazy nějaké přikládáte)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color w:val="00000A"/>
          <w:sz w:val="20"/>
        </w:rPr>
        <w:t>Kolky v hodnotě ….. Kč (</w:t>
      </w:r>
      <w:r>
        <w:rPr>
          <w:rFonts w:ascii="Arial" w:cs="Arial" w:eastAsia="Arial" w:hAnsi="Arial"/>
          <w:i/>
          <w:color w:val="00000A"/>
          <w:sz w:val="20"/>
        </w:rPr>
        <w:t>doplní se částka podle zákona č. 549/1991 Sb., o soudních poplatcích</w:t>
      </w:r>
      <w:r>
        <w:rPr>
          <w:rFonts w:ascii="Arial" w:cs="Arial" w:eastAsia="Arial" w:hAnsi="Arial"/>
          <w:color w:val="00000A"/>
          <w:sz w:val="20"/>
        </w:rPr>
        <w:t>)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i/>
          <w:color w:val="00000A"/>
          <w:sz w:val="20"/>
        </w:rPr>
        <w:t>Popis vztahů mezi účastníky</w:t>
      </w:r>
    </w:p>
    <w:p>
      <w:pPr>
        <w:pStyle w:val="style0"/>
        <w:spacing w:after="100" w:before="100" w:line="100" w:lineRule="atLeast"/>
        <w:contextualSpacing w:val="false"/>
        <w:jc w:val="center"/>
      </w:pPr>
      <w:r>
        <w:rPr>
          <w:rFonts w:ascii="Arial" w:cs="Arial" w:eastAsia="Arial" w:hAnsi="Arial"/>
          <w:b/>
          <w:sz w:val="20"/>
        </w:rPr>
        <w:t>I.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 xml:space="preserve">Dne 6.8. 2007 uzavřel žalovaný smlouvu o úvěru se společností </w:t>
      </w:r>
      <w:r>
        <w:rPr>
          <w:rFonts w:ascii="Arial" w:cs="Arial" w:eastAsia="Arial" w:hAnsi="Arial"/>
          <w:i/>
          <w:sz w:val="20"/>
        </w:rPr>
        <w:t xml:space="preserve">(identifikujete společnost uvedením jejího názvu, sídla a IČO) </w:t>
      </w:r>
      <w:r>
        <w:rPr>
          <w:rFonts w:ascii="Arial" w:cs="Arial" w:eastAsia="Arial" w:hAnsi="Arial"/>
          <w:sz w:val="20"/>
        </w:rPr>
        <w:t xml:space="preserve">(dale jen “banka”) na základě které obdržel 500 000 Kč s dobou splatnosti 84 měsíců. Tuto smlouvu věřitel podmínil zajištění závazku formou smlouvy o ručení. Na žádost dlužníka jsem ručitelský závazek převzal. </w:t>
      </w:r>
      <w:r>
        <w:rPr>
          <w:rFonts w:ascii="Arial" w:cs="Arial" w:eastAsia="Arial" w:hAnsi="Arial"/>
          <w:sz w:val="20"/>
        </w:rPr>
        <w:t>Dne 1. 8.</w:t>
      </w:r>
      <w:r>
        <w:rPr>
          <w:rFonts w:ascii="Arial" w:cs="Arial" w:eastAsia="Arial" w:hAnsi="Arial"/>
          <w:sz w:val="20"/>
        </w:rPr>
        <w:t xml:space="preserve"> 2012 jsem obdržel výzvu k úhradě splátky ve výši 8 198 Kč s odůvodněním, že dlužník přestal plnit svůj závazek. Z obavy z možného nařízení výkonu rozhodnutí jsem na základě dalších výzev </w:t>
      </w:r>
      <w:r>
        <w:rPr>
          <w:rFonts w:ascii="Arial" w:cs="Arial" w:eastAsia="Arial" w:hAnsi="Arial"/>
          <w:sz w:val="20"/>
        </w:rPr>
        <w:t>od výše uvedeného data dlužnou částku</w:t>
      </w:r>
      <w:r>
        <w:rPr>
          <w:rFonts w:ascii="Arial" w:cs="Arial" w:eastAsia="Arial" w:hAnsi="Arial"/>
          <w:sz w:val="20"/>
        </w:rPr>
        <w:t xml:space="preserve"> hradil, celkov</w:t>
      </w:r>
      <w:r>
        <w:rPr>
          <w:rFonts w:ascii="Arial" w:cs="Arial" w:eastAsia="Arial" w:hAnsi="Arial"/>
          <w:sz w:val="20"/>
        </w:rPr>
        <w:t>ě</w:t>
      </w:r>
      <w:r>
        <w:rPr>
          <w:rFonts w:ascii="Arial" w:cs="Arial" w:eastAsia="Arial" w:hAnsi="Arial"/>
          <w:sz w:val="20"/>
        </w:rPr>
        <w:t xml:space="preserve"> částka činí 196 752 Kč. </w:t>
      </w:r>
      <w:r>
        <w:rPr>
          <w:rFonts w:ascii="Arial" w:cs="Arial" w:eastAsia="Arial" w:hAnsi="Arial"/>
          <w:sz w:val="20"/>
        </w:rPr>
        <w:t>Poslední splátku jsem uhradil 31. 7. 2015</w:t>
      </w:r>
    </w:p>
    <w:p>
      <w:pPr>
        <w:pStyle w:val="style0"/>
        <w:spacing w:after="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>Důkaz: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>smlouva o ručení ze dne 6. 8. 2007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>výzvy k úhradě splátky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 xml:space="preserve">výpisy z účtu č. 59996335/8777 vedeného u </w:t>
      </w:r>
      <w:r>
        <w:rPr>
          <w:rFonts w:ascii="Arial" w:cs="Arial" w:eastAsia="Arial" w:hAnsi="Arial"/>
          <w:i/>
          <w:sz w:val="20"/>
        </w:rPr>
        <w:t>(uvedete banku)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i/>
          <w:sz w:val="20"/>
        </w:rPr>
        <w:t>Popis toho, co se stalo</w:t>
      </w:r>
    </w:p>
    <w:p>
      <w:pPr>
        <w:pStyle w:val="style0"/>
        <w:spacing w:after="100" w:before="100" w:line="100" w:lineRule="atLeast"/>
        <w:contextualSpacing w:val="false"/>
        <w:jc w:val="center"/>
      </w:pPr>
      <w:r>
        <w:rPr>
          <w:rFonts w:ascii="Arial" w:cs="Arial" w:eastAsia="Arial" w:hAnsi="Arial"/>
          <w:b/>
          <w:sz w:val="20"/>
        </w:rPr>
        <w:t>II.</w:t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sz w:val="20"/>
        </w:rPr>
        <w:t>Žalovaný se mnou po celou dobu odmítal komunikovat, bez úspěchu zůstala i moje snaha kontaktovat ho v místě bydliště, protože se tam dlouhodobě nezdržuje.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Arial" w:cs="Arial" w:eastAsia="Arial" w:hAnsi="Arial"/>
          <w:i/>
          <w:sz w:val="20"/>
        </w:rPr>
        <w:t>Odůvodnění, proč je návrh podáván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center"/>
      </w:pPr>
      <w:r>
        <w:rPr>
          <w:rFonts w:ascii="Arial" w:cs="Arial" w:eastAsia="Arial" w:hAnsi="Arial"/>
          <w:b/>
          <w:sz w:val="20"/>
        </w:rPr>
        <w:t>III.</w:t>
      </w:r>
      <w:r>
        <w:rPr>
          <w:rFonts w:ascii="Arial" w:cs="Arial" w:eastAsia="Arial" w:hAnsi="Arial"/>
          <w:b/>
          <w:color w:val="00000A"/>
          <w:sz w:val="20"/>
        </w:rPr>
        <w:t xml:space="preserve"> </w:t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00000A"/>
          <w:sz w:val="20"/>
        </w:rPr>
        <w:t xml:space="preserve">Proto jsem mu v srpnu 2015 na jeho poslední známou adresu zaslal výzvu k úhradě částky 196 752,- Kč s upozorněním, že když nedojde k úhradě uvedené částky do 31.8.2014, budu vzniklou situaci řešit soudní cestou. 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</w:pPr>
      <w:r>
        <w:rPr>
          <w:rFonts w:ascii="Arial" w:cs="Arial" w:eastAsia="Arial" w:hAnsi="Arial"/>
          <w:color w:val="00000A"/>
          <w:sz w:val="20"/>
        </w:rPr>
        <w:t>Důkazy: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spacing w:line="100" w:lineRule="atLeast"/>
      </w:pPr>
      <w:r>
        <w:rPr>
          <w:rFonts w:ascii="Arial" w:cs="Arial" w:eastAsia="Arial" w:hAnsi="Arial"/>
          <w:color w:val="00000A"/>
          <w:sz w:val="20"/>
        </w:rPr>
        <w:t xml:space="preserve"> </w:t>
      </w:r>
      <w:r>
        <w:rPr>
          <w:rFonts w:ascii="Arial" w:cs="Arial" w:eastAsia="Arial" w:hAnsi="Arial"/>
          <w:color w:val="00000A"/>
          <w:sz w:val="20"/>
        </w:rPr>
        <w:t>předžalobní upomínka ze dne 12.8. 2015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i/>
          <w:color w:val="00000A"/>
          <w:sz w:val="20"/>
        </w:rPr>
        <w:t>Návrh, jak má soud rozhodnout</w:t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  <w:sz w:val="20"/>
        </w:rPr>
        <w:t xml:space="preserve">Navrhuji proto, aby soud po provedeném řízení vydal tento </w:t>
      </w:r>
    </w:p>
    <w:p>
      <w:pPr>
        <w:pStyle w:val="style0"/>
        <w:spacing w:line="360" w:lineRule="auto"/>
        <w:ind w:hanging="0" w:left="720" w:right="0"/>
        <w:jc w:val="center"/>
      </w:pPr>
      <w:r>
        <w:rPr>
          <w:rFonts w:ascii="Arial" w:cs="Arial" w:eastAsia="Arial" w:hAnsi="Arial"/>
          <w:b/>
          <w:sz w:val="20"/>
        </w:rPr>
        <w:t>platební rozkaz:</w:t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00000A"/>
          <w:sz w:val="20"/>
        </w:rPr>
        <w:t>Žalovaný je povinen zaplatit žalobci částku 196 752,- Kč včetně zákonného úroku z prodlení od 1. srpna 201</w:t>
      </w:r>
      <w:r>
        <w:rPr>
          <w:rFonts w:ascii="Arial" w:cs="Arial" w:eastAsia="Arial" w:hAnsi="Arial"/>
          <w:color w:val="00000A"/>
          <w:sz w:val="20"/>
        </w:rPr>
        <w:t>5</w:t>
      </w:r>
      <w:r>
        <w:rPr>
          <w:rFonts w:ascii="Arial" w:cs="Arial" w:eastAsia="Arial" w:hAnsi="Arial"/>
          <w:color w:val="00000A"/>
          <w:sz w:val="20"/>
        </w:rPr>
        <w:t>, a dále náklady soudního řízení, a to vše do 15-ti dnů ode dne doručení tohoto platebního rozkazu.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00000A"/>
          <w:sz w:val="20"/>
        </w:rPr>
        <w:t>Pokud soud shledá nedostatek důkazů  navrhuji, aby soud vydal tento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Arial" w:cs="Arial" w:eastAsia="Arial" w:hAnsi="Arial"/>
          <w:b/>
          <w:color w:val="00000A"/>
          <w:sz w:val="20"/>
        </w:rPr>
        <w:t>rozsudek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  <w:color w:val="00000A"/>
          <w:sz w:val="20"/>
        </w:rPr>
        <w:t>Žalovaný je povinen zaplatit žalobci částku 196 752,- Kč včetně zákonného úroku z prodlení od 1. srpna 2015, a dále náklady soudního řízení, a to vše do 15-ti dnů ode dne doručení rozsudku.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after="100" w:before="100" w:line="100" w:lineRule="atLeast"/>
        <w:contextualSpacing w:val="false"/>
      </w:pPr>
      <w:r>
        <w:rPr>
          <w:rFonts w:ascii="Arial" w:cs="Arial" w:eastAsia="Arial" w:hAnsi="Arial"/>
          <w:sz w:val="20"/>
        </w:rPr>
        <w:t xml:space="preserve">V Jindřichově Hradci, </w:t>
      </w:r>
      <w:bookmarkStart w:id="0" w:name="_GoBack"/>
      <w:bookmarkEnd w:id="0"/>
      <w:r>
        <w:rPr>
          <w:rFonts w:ascii="Arial" w:cs="Arial" w:eastAsia="Arial" w:hAnsi="Arial"/>
          <w:color w:val="00000A"/>
          <w:sz w:val="20"/>
        </w:rPr>
        <w:t xml:space="preserve"> dne 5. 9. 2015</w:t>
      </w:r>
    </w:p>
    <w:p>
      <w:pPr>
        <w:pStyle w:val="style0"/>
        <w:spacing w:after="100" w:before="100" w:line="100" w:lineRule="atLeast"/>
        <w:contextualSpacing w:val="false"/>
        <w:jc w:val="both"/>
      </w:pPr>
      <w:r>
        <w:rPr>
          <w:rFonts w:ascii="Arial" w:cs="Arial" w:eastAsia="Arial" w:hAnsi="Arial"/>
          <w:sz w:val="20"/>
        </w:rPr>
        <w:t>Jan Nováček</w:t>
      </w:r>
    </w:p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1417" w:footer="0" w:gutter="0" w:header="1417" w:left="1417" w:right="1417" w:top="19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Calibri" w:cs="Tahoma" w:eastAsia="Segoe UI" w:hAnsi="Calibri"/>
      <w:color w:val="000000"/>
      <w:sz w:val="24"/>
      <w:szCs w:val="24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next w:val="style16"/>
    <w:rPr>
      <w:color w:val="000080"/>
      <w:u w:val="single"/>
      <w:lang w:bidi="zxx-" w:eastAsia="zxx-" w:val="zxx-"/>
    </w:rPr>
  </w:style>
  <w:style w:styleId="style17" w:type="character">
    <w:name w:val="ListLabel 1"/>
    <w:next w:val="style17"/>
    <w:rPr>
      <w:rFonts w:cs="Symbol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Záhlaví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uhovylabyrint.cz/kam-pro-rad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2015-09-01T09:57:00.00Z</dcterms:created>
  <dc:creator>poradna</dc:creator>
  <cp:lastModifiedBy>poradna</cp:lastModifiedBy>
  <dcterms:modified xsi:type="dcterms:W3CDTF">2015-09-01T12:39:00.00Z</dcterms:modified>
  <cp:revision>1</cp:revision>
</cp:coreProperties>
</file>